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26 vom 1. Dezember 2025</w:t>
      </w:r>
    </w:p>
    <w:p>
      <w:r>
        <w:t>VS Kantonsgericht, 2025-12-01, FR</w:t>
      </w:r>
    </w:p>
    <w:p>
      <w:r>
        <w:rPr>
          <w:b/>
        </w:rPr>
        <w:t xml:space="preserve">Quelle: </w:t>
      </w:r>
      <w:r>
        <w:t>https://mcp.opencaselaw.ch/entscheid/vs_gerichte_S2 24 26</w:t>
      </w:r>
    </w:p>
    <w:p>
      <w:r>
        <w:t>FR: VS_GERICHTE S2 24 26 du 1 décembre 2025</w:t>
      </w:r>
    </w:p>
    <w:p>
      <w:r>
        <w:t>IT: VS_GERICHTE S2 24 26 del 1 dicembre 2025</w:t>
      </w:r>
    </w:p>
    <w:p>
      <w:pPr>
        <w:pStyle w:val="Heading2"/>
      </w:pPr>
      <w:r>
        <w:t>Erwägungen</w:t>
      </w:r>
    </w:p>
    <w:p>
      <w:r>
        <w:rPr>
          <w:b/>
        </w:rPr>
        <w:t>E. 1</w:t>
      </w:r>
    </w:p>
    <w:p>
      <w:r>
        <w:t>Selon l'article 1 alinéa 1 de la loi fédérale sur l'assurance-accidents (LAA), les dispositions de la loi fédérale sur la partie générale du droit des assurances sociales (LPGA) s'appliquent à l'assurance-accidents, à moins que la LAA n'y déroge expressément. Posté le 26 mars 2024, le présent recours contre la décision sur opposition du 1er mars 2024, notifiée au plus tôt le 4 mars suivant, a été interjeté dans le délai légal (art.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d’une part sur le taux d’invalidité du recourant, plus particulièrement sur sa capacité de travail exigible dans une activité adaptée, et d’autre part sur le taux de l’indemnité pour atteinte à l’intégrité qui lui a été accordée des suites de son accident.</w:t>
      </w:r>
    </w:p>
    <w:p>
      <w:r>
        <w:rPr>
          <w:b/>
        </w:rPr>
        <w:t>E. 3</w:t>
      </w:r>
    </w:p>
    <w:p>
      <w:r>
        <w:t>Dans un premier grief, l’assuré reproche à l’intimée de mal avoir évalué sa capacité de travail exigible depuis le 1er août 2023. Se prévalant des rapports du Dr C.____, il met en doute la valeur probante des conclusions du médecin d’arrondissement de la CNA, le Dr D.____, notamment au motif que ce dernier est rémunéré par l’intimé et n’est pas un spécialiste dans le domaine médical litigieux.</w:t>
      </w:r>
    </w:p>
    <w:p>
      <w:r>
        <w:rPr>
          <w:b/>
        </w:rPr>
        <w:t>E. 3.1.1</w:t>
      </w:r>
    </w:p>
    <w:p>
      <w:r>
        <w:t>Selon l'article 18 alinéa 1 LAA, l'assuré a droit à une rente d'invalidité s'il est invalide (art. 8 LPGA) à 10 %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w:t>
      </w:r>
    </w:p>
    <w:p>
      <w:r>
        <w:t>- 8 -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3.1.2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 arrêt du Tribunal fédéral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en vertu de leur obligation de collaborer, la preuve de ce fait ne peut être rapportée avec une vraisemblance prépondérante pour emporter la conviction du tribunal, c'est à la partie qui entendait en déduire un droit d'en supporter les conséquences (DTA 1996-1997 n.</w:t>
      </w:r>
    </w:p>
    <w:p>
      <w:r>
        <w:t>- 9 - 17 consid. 2a ; 1991 n. 11 et 100 consid. 1b ; 1990 n. 12 consid. 1b et les arrêts cités ; ATF 115 V 113 consid. 3d/bb). Dans cette mesure, en droit des assurances sociales, le fardeau de la preuve n'est pas subjectif, mais objectif (RCC 1984 p. 128 consid. 1b).</w:t>
      </w:r>
    </w:p>
    <w:p>
      <w:r>
        <w:rPr>
          <w:b/>
        </w:rPr>
        <w:t>E. 3.1.3</w:t>
      </w:r>
    </w:p>
    <w:p>
      <w:r>
        <w:t>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 VSI 1997 p. 121). En principe, n'est donc décisif, pour la valeur probatoire, ni l'origine, ni la désignation d'un moyen de preuve, mais bien son contenu (ATF 125 V 351 consid. 3a,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w:t>
      </w:r>
    </w:p>
    <w:p>
      <w:r>
        <w:rPr>
          <w:b/>
        </w:rPr>
        <w:t>E. 3.1.4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doute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w:t>
      </w:r>
    </w:p>
    <w:p>
      <w:r>
        <w:t>- 10 -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l'article 44 LPGA (ATF 135 V 465 consid. 4.5 et 4.6 ; arrêt du Tribunal fédéral 8C_62/2025 du 23 septembre 2025 consid. 3.3).</w:t>
      </w:r>
    </w:p>
    <w:p>
      <w:r>
        <w:rPr>
          <w:b/>
        </w:rPr>
        <w:t>E. 3.1.5</w:t>
      </w:r>
    </w:p>
    <w:p>
      <w:r>
        <w:t>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du Tribunal fédéral 9C_843/2007 du 28 juillet 2008 consid. 3).</w:t>
      </w:r>
    </w:p>
    <w:p>
      <w:r>
        <w:rPr>
          <w:b/>
        </w:rPr>
        <w:t>E. 3.2.1</w:t>
      </w:r>
    </w:p>
    <w:p>
      <w:r>
        <w:t>En l’occurrence, l’intimée s’est fondée sur les conclusions de son médecin d’arrondissement. Dans le cadre de l’élaboration de ses rapports des 19 juin 2023 et 13 février 2024, le Dr D.____, spécialiste d’une compétence reconnue en chirurgie orthopédique et traumatologie de l’appareil locomoteur depuis 1996, a pris connaissance des rapports médicaux versés au dossier qu’il a résumé dans la partie « faits pertinents selon les pièces du dossier » de son premier rapport. Il a en particulier relevé que, subjectivement, selon les derniers rapports de l’opérateur, les plaintes portaient sur des douleurs et une certaine intolérance au froid et qu’objectivement, à la sortie de la CRR, le pourcentage d’utilisation fonctionnelle de la main lésée avait été évalué à 62 %. Concernant la force de préhension, elle restait limitée et diminuée. Le Dr D.____ a notamment relevé que, depuis le 5 juin 2023, plus aucun contrôle n’était prévu chez le Dr C.____ et que ce dernier avait mis un terme à la prescription de séances d’ergothérapie. Le Dr D.____ a dès lors conclu qu’il n’y avait plus de solution thérapeutique, chirurgicale ou conservatrice, encore susceptible d’améliorer de façon notable l’état clinique de l’assuré. En termes d’exigibilité professionnelle, il a retenu une pleine capacité de travail dans une activité respectant les limitations fonctionnelles suivantes avec la main droite : pas de port de charges lourdes, pas de port de charges moyennes continu et répétitif particulièrement s’il nécessitait une préhension avec la</w:t>
      </w:r>
    </w:p>
    <w:p>
      <w:r>
        <w:t>- 11 - main droite, pas d’activité engendrant des chocs répétitifs et/ou continus au niveau de la main droite, pas d’exposition prolongée au froid. Dans sa prise de position du 13 février 2024, le Dr D.____ a répété que les limitations fonctionnelles étaient l’éviction du port de charges supérieures à 5-10 kg, du port de charges répété supérieures à 5 kg, des mouvements nécessitant des préhensions forcées répétitifs et/ou continus de la main droite ainsi que d’une exposition continue au froid. Il a confirmé que, moyennant le respect de ces restrictions, on pouvait raisonnablement s’attendre à une pleine capacité (horaire et rendement). Par contre, au vu des limitations, le pronostic de réinsertion dans l’ancienne activité apparaissait comme défavorable. Le Dr D.____ a estimé qu’il n’y avait pas de motif justifiant de diminuer le rendement, les limitations définies dans une activité exigible étant par principe adaptées à la perte anatomo-fonctionnelle touchant la main lésée. S’agissant de la baisse de rendement invoquée par l’assuré en raison de ses douleurs, il a rappelé les facteurs permettant d’admettre une telle incidence. A ce titre, il a souligné que la possibilité d’un névrome n’avait jamais été retenue. Il en était de même quant à la possibilité d’un syndrome douloureux régional complexe. On ne pouvait pas retenir un revêtement cutané insuffisant ou une saillie osseuse, les moignons ayant été révisés avec un arrondissement des contours osseux et, pour un des rayons, un complément de couverture par un lambeau avait été réalisé avec d’un point de vue clinique un excellent rembourrage de protection de ces moignons. Il a souligné que la douleur, non objectivable, restait un élément subjectif qui pouvait être influencé par des facteurs contextuels. Dans le cas de l’assuré, en se basant sur les éléments objectifs décrits précédemment, il n’y avait pas lieu d’admettre que dans une activité adaptée, les douleurs puissent interférer de façon telle à induire une diminution de rendement. Concernant la fonction de préhension de la main, le médecin d’arrondissement a souligné que, dans l’évaluation ergothérapeutique de la CRR, son atteinte n’avait pas entraîné d’handicap important. L’assuré conservait un enroulement correct des doigts lésés, permettant de réaliser une préhension certes diminuée mais encore possible et tout à fait adaptée aux limitations décrites. Il a rappelé les fonctions de la main pouvant encore être accomplies par l’assuré (pousser, tirer, déplacer des charges ou des objets ; fonctionner comme un porte-outil pour accomplir une tâche, par exemple lors de l’utilisation d’un marteau, d’une perceuse, ou d’un tournevis, sous réserve du respect des limitations et charges décrites précédemment ; fonctionner comme une interface machine étant donné que la plupart des appareils sont conçus de façon plus ou moins</w:t>
      </w:r>
    </w:p>
    <w:p>
      <w:r>
        <w:t>- 12 - ergonomique afin que la main puisse leur donner des ordres, par exemple avec des claviers, boutons ou manettes servant à faire fonctionner la machine). Le Dr D.____ a ainsi conclu de manière convaincante et motivée que, malgré les séquelles anatomo- fonctionnelles de la main droite de l’assuré, les fonctions de la main en lien avec une activité professionnelle adaptée pouvaient être exigibles sans diminution de rendement.</w:t>
      </w:r>
    </w:p>
    <w:p>
      <w:r>
        <w:rPr>
          <w:b/>
        </w:rPr>
        <w:t>E. 3.2.2</w:t>
      </w:r>
    </w:p>
    <w:p>
      <w:r>
        <w:t>Contrairement à ce que semble prétendre le recourant, l’avis du Dr D.____ n’est nullement mis en doute pas des avis médicaux opposés d’une valeur prépondérante. Au contraire, les conclusions du Dr D.____ rejoignent globalement celles qui avaient déjà été posées par les praticiens de la CRR au terme du séjour de l’assuré, du 13 décembre 2022 au 10 janvier 2023. En effet, ces derniers avaient noté une tendance à protéger la main atteinte et à la sous-utiliser. Néanmoins, sur le plan orthopédique, les radiographies avaient montré une absence d’anomalie au niveau des moignons. Le consultant spécialisé en chirurgie avait constaté la bonne qualité au niveau des moignons mais la présence de dysparesthésies. L’importance de la stimulation et de l’intégration des doigts amputés dans les gestes du quotidien, malgré les douleurs, avait été soulignée. Nonobstant des difficultés psychosociales, aucun PTSD ou autre trouble psychique n’avait été retenu. Si les plaintes et limitations s’expliquaient principalement par les lésions objectives constatées lors du séjour, il existait néanmoins des facteurs contextuels : une cotation élevée de la douleur, la difficile acceptation de l’amputation, la mauvaise maîtrise du français, l’absence de formation, le litige avec les assurances. Au plan médico-théorique, les praticiens de la CRR ont ainsi retenu que l’intéressé était apte à accomplir un travail impliquant uniquement un niveau d’effort léger, avec des charges maximales de 5-10 kg, de 5 kg maximum en cas de charges répétées, sans mouvements nécessitant de la force ou de mouvements répétés avec la main droite et sans exposition au froid. Cette évaluation de janvier 2023 était encore susceptible de s’améliorer jusqu’au terme de la stabilisation fixée 2 à 3 mois plus tard, soit environ en mai 2023. Les spécialistes de la CRR avaient également posé au plan médical un pronostic de réinsertion favorable dans une activité adaptée. Quant au Dr C.____, contrairement à ce que prétend le recourant, il n’a jamais pris formellement position sur sa capacité de travail exigible dans une activité adaptée ; il ne l’a en particulier nullement limitée à un taux de 50 %. On rappellera au contraire que, dans les suites de ses interventions, le chirurgien a attesté une évolution favorable, puis stable. Il a attesté de douleurs résiduelles et d’une intolérance au froid, ce dont a pris acte le médecin d’arrondissement dans son appréciation (cf. ses rapports des 28 mars</w:t>
      </w:r>
    </w:p>
    <w:p>
      <w:r>
        <w:t>- 13 - 2022, 25 avril 2022, 27 mars 2023 et 5 juin 2023, également résumés dans la pièce 181 du dossier CNA). Les conclusions du Dr D.____ n’ont ainsi pas été mises en doute par des avis médicaux étayés permettant de retenir que son avis serait erroné ou lacunaire.</w:t>
      </w:r>
    </w:p>
    <w:p>
      <w:r>
        <w:rPr>
          <w:b/>
        </w:rPr>
        <w:t>E. 3.2.3</w:t>
      </w:r>
    </w:p>
    <w:p>
      <w:r>
        <w:t>Quant au lien entre le médecin d'arrondissement et l'intimée, il ne permet pas d'emblée de douter de l'objectivité de l'appréciation de celui-ci, ni de soupçonner une prévention à l'égard de l'assuré. En effet, ce n'est qu'en présence de circonstances particulières que des doutes au sujet de l'impartialité d'une appréciation d'un médecin interne à l'assureur peuvent être considérés comme objectivement fondés (ATF 125 V 351 consid. 3b/ee). Sur ce point, le recourant, pas plus que le dossier, ne laissent apparaître d'éléments concrets susceptibles de démontrer la partialité du médecin d'arrondissement de la CNA. S’agissant de ses compétences, il est rappelé que, selon la jurisprudence, les médecins d’arrondissement ainsi que les spécialistes du centre de compétence de la médecine des assurances de la CNA sont effectivement considérés, du fait de leur fonction et de leur position professionnelle, comme étant des spécialistes en matière de traumatologie, indépendamment de leur spécialisation médicale (arrêts du Tribunal fédéral 8C_355/2022 du 2 novembre 2022 consid. 7.2, 8C_59/2020 du 14 avril 2020 consid. 5.2 et 8C_316/2019 consid. 5.4 du 24 octobre 2019 et les arrêts cités).</w:t>
      </w:r>
    </w:p>
    <w:p>
      <w:r>
        <w:rPr>
          <w:b/>
        </w:rPr>
        <w:t>E. 3.2.4</w:t>
      </w:r>
    </w:p>
    <w:p>
      <w:r>
        <w:t>De l'ensemble de ce qui précède, le Tribunal retient que le médecin d'arrondissement de la CNA s'est prononcé sur la base d'un dossier médical complet, comprenant notamment une évaluation à la CRR, ne nécessitant pas la mise en œuvre de nouvelles mesures d'instruction médicale (notamment la mise sur pied d'une expertise auprès d’un spécialiste externe à la CNA). La demande du recourant en ce sens doit ainsi être rejetée (sur l’appréciation anticipée des moyens de preuve en général : ATF 145 I 167 consid. 4.1, 144 II 427 consid. 3.1.3 et 141 I 60 consid. 3.3 ; arrêt du Tribunal fédéral 8C_655/2021 du 27 juin 2022 consid. 5.2). A l’aune de ces développements, la Cour ne saurait dès lors faire grief à l’intimée d’avoir retenu que, dès le 1er août 2023, la capacité médico-théorique de l’assuré dans une activité légère adaptée était à nouveau de 100 %.</w:t>
      </w:r>
    </w:p>
    <w:p>
      <w:r>
        <w:rPr>
          <w:b/>
        </w:rPr>
        <w:t>E. 4</w:t>
      </w:r>
    </w:p>
    <w:p>
      <w:r>
        <w:t>Reste à vérifier le calcul du taux d’invalidité.</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w:t>
      </w:r>
    </w:p>
    <w:p>
      <w:r>
        <w:t>- 14 -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4.2.1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8C_610/2017 du 3 avril 2018 consid. 3.3.1). On se fondera, sur ce point, sur les renseignements communiqués par l’employeur ou, à défaut, sur l’évolution des salaires nominaux (arrêt du Tribunal fédéral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135 V 297 consid. 5.1, 134 V 322 consid. 4.1 ; arrêt du Tribunal fédéral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du Tribunal fédéral 8C_733/2013 du 5 septembre 2014 consid. 5 et la référence).</w:t>
      </w:r>
    </w:p>
    <w:p>
      <w:r>
        <w:rPr>
          <w:b/>
        </w:rPr>
        <w:t>E. 4.2.2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w:t>
      </w:r>
    </w:p>
    <w:p>
      <w:r>
        <w:t>- 15 - et 129 V 472 consid. 4.2.1 ; arrêts du Tribunal fédéral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9C_692/2015 du 23 février 2016 et les références citées).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4.2.3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129 V 472 consid. 4.2.3,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w:t>
      </w:r>
    </w:p>
    <w:p>
      <w:r>
        <w:t>- 16 - juge des assurances sociales ne peut, sans motif pertinent, substituer sa propre appréciation à celle de l'administration ; il doit s'appuyer sur des circonstances de nature à faire apparaître sa propre appréciation comme la mieux appropriée (ATF 137 V 71 consid. 5.2, 126 V 75 consid. 6). D’éventuelles restrictions liées à la santé déjà incluses dans l'évaluation de la capacité de travail médicale ne doivent pas être prises en compte en plus dans le calcul de la déduction liée à la souffrance et conduire ainsi à une double prise en compte du même point de vue. De plus, l'impossibilité, pour des raisons de santé, de continuer à effectuer des travaux physiquement lourds n'entraîne pas automatiquement une diminution du salaire hypothétique d'invalide. Au contraire, le seul fait que seuls des travaux légers à moyennement lourds puissent encore être exigés ne constitue pas, même en cas de capacité de travail réduite, un motif de déduction supplémentaire liée à la souffrance, car le salaire du tableau pour le niveau de compétences 1 comprend déjà un grand nombre de tâches légères et moyennement lourdes (arrêt du Tribunal fédéral 8C_805/2016 du 22 mars 2017 consid. 3.1 et 3.4.2 et les références citées). Par conséquent, seules des circonstances pouvant être qualifiées d'extraordinaires, même sur un marché du travail équilibré, pourraient en principe être prises en compte au titre de la déduction pour cause de souffrance (arrêt du Tribunal fédéral 8C_82/2019 du 19 septembre 2019 consid. 6.3.2)</w:t>
      </w:r>
    </w:p>
    <w:p>
      <w:r>
        <w:rPr>
          <w:b/>
        </w:rPr>
        <w:t>E. 4.3</w:t>
      </w:r>
    </w:p>
    <w:p>
      <w:r>
        <w:t>En l’occurrence, l’intimée a fixé le revenu réalisable sans accident, sur la base du salaire acquis auprès du dernier employeur du recourant, à 70'653 francs (30 fr. x 2174 heures selon AVE + 8,33 % de 13ème salaire ; cf. p. 191 ss du dossier CNA). Le salaire avec invalidité a été arrêté à 60'563 fr. en se fondant sur les données de l’ESS pour un homme avec un niveau de compétences 1. L’intimée a en outre admis sur ce salaire d’invalide un abattement de 10 % compte tenu des limitations de la main et du statut personnel de ce travailleur étranger aux ressources limitées ; de plus, elle a correctement estimé que les limitations fonctionnelles présentées par l’assuré avaient déjà été prises en compte dans l’examen de sa capacité de travail résiduelle (cf. supra). Au surplus, il est précisé que le niveau de compétences 1 présente un large choix d’activités légères et n’impliquant pas de formation particulière. Un certain nombre d’activités légères permettent de se limiter à un port et à une manipulation occasionnelle de charges moyennes (5 à 10 kg, 5 kg si répétitifs), ne nécessitant pas d’effectuer des mouvements répétitifs ou d’accomplir des efforts de préhension de la main lésée, ni de l’exposer de manière prolongée au froid ou à des activités engendrant de chocs ou des</w:t>
      </w:r>
    </w:p>
    <w:p>
      <w:r>
        <w:t>- 17 - vibrations. A ce titre, on pourra se référer aux exemples cités par l’intimée dans sa réponse du 18 avril 2024 : postes de surveillance, travail administratif ; on ajoutera des activités dans la vente de produits légers. Par ailleurs, au moment où il a été constaté que l'exercice d'une activité lucrative était médicalement exigible (ATF 146 V 16 consid. 7.1 et les références citées), soit en juin 2023 (date du rapport du Dr D.____), le recourant était âgé de 45 ans et n’avait donc pas encore atteint l’âge, proche de celui donnant droit à la rente de vieillesse, à partir duquel la question de la mise en valeur de la capacité (résiduelle) de travail nécessite une analyse globale de la situation afin d’examiner si, de manière réaliste, cet assuré est en mesure de retrouver un emploi sur un marché équilibré du travail (ATF 138 V 457 consid. 3.1, cité p. ex. in arrêt du Tribunal fédéral 8C_240/2021 précité consid. 3). Finalement, l’intéressé ne conteste pas, à juste titre, le calcul en tant que tel du revenu d’invalide, de sorte qu’il peut également être confirmé. Ainsi, la comparaison des revenus sans (70'653 fr.) et avec invalidité (60'536 fr.) donne bel et bien un taux d’invalidité de 14 % qu’il sied de confirmer. Les griefs du recourant relatifs à son taux d’invalidité doivent dès lors être écartés.</w:t>
      </w:r>
    </w:p>
    <w:p>
      <w:r>
        <w:rPr>
          <w:b/>
        </w:rPr>
        <w:t>E. 5</w:t>
      </w:r>
    </w:p>
    <w:p>
      <w:r>
        <w:t>Dans un second grief, le recourant conteste le taux de l’IPAI retenu par l’intimée.</w:t>
      </w:r>
    </w:p>
    <w:p>
      <w:r>
        <w:rPr>
          <w:b/>
        </w:rPr>
        <w:t>E. 5.1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du Tribunal fédéral 8C_812/2010 du 2 mai 2011 consid. 6). Dans ce cas, il convient d'abord d’additionner les pourcentages correspondant à chacune des atteintes, avant d'examiner de manière globale si le résultat obtenu est juste et proportionnel, en comparaison avec d'autres</w:t>
      </w:r>
    </w:p>
    <w:p>
      <w:r>
        <w:t>- 18 - atteintes figurant dans l'annexe 3 à l'OLAA (arrêt du Tribunal fédéral 8C_346/2017 du 15 mars 2018 consid. 4.4 ; RAMA 1998 n° U 296 p. 235, U 245/96 consid. 2a).</w:t>
      </w:r>
    </w:p>
    <w:p>
      <w:r>
        <w:rPr>
          <w:b/>
        </w:rPr>
        <w:t>E. 5.2</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du Tribunal fédéral 8C_459/2008 consid. 2.3;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(arrêt du Tribunal fédéral 8C_85/2023 du 16 septembre 2024 consid. 5.1 ; FRÉSARD/MOSER-SZELESS, L'assurance-accidents obligatoire in : Schweizerisches Bundesverwaltungsrecht (SBVR), 2ème éd., 2007, n° 229).</w:t>
      </w:r>
    </w:p>
    <w:p>
      <w:r>
        <w:rPr>
          <w:b/>
        </w:rPr>
        <w:t>E. 5.3</w:t>
      </w:r>
    </w:p>
    <w:p>
      <w:r>
        <w:t>L'annexe 3 de l'OLAA comporte un barème - reconnu conforme à la loi et non exhaustif (ATF 124 V 29 consid. 1b, 209 consid. 4a/bb et 113 V 218 consid. 2a ; arrêt du Tribunal fédéral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w:t>
      </w:r>
    </w:p>
    <w:p>
      <w:r>
        <w:t>- 19 -</w:t>
      </w:r>
    </w:p>
    <w:p>
      <w:r>
        <w:rPr>
          <w:b/>
        </w:rPr>
        <w:t>E. 5.4</w:t>
      </w:r>
    </w:p>
    <w:p>
      <w:r>
        <w:t>En l’occurrence, le médecin d’arrondissement a souligné que, théoriquement, une amputation de phalanges distales touchant deux rayons côte à côte donne, selon la table 3, page 3.5 du barème d’indemnisation des atteintes à l’intégrité selon la LAA, un taux de 5 %. Il a néanmoins tenu compte du fait que, dans le cas du recourant, les moignons avaient nécessité des révisions ainsi que des ténolyses, avec un assuré qui gardait des séquelles et des douleurs à l’enroulement. Pour cette raison, il a admis que, d’un point de vue fonctionnel, la situation s’apparentait plutôt à une amputation correspondant à un niveau interphalangien proximal. Il a ajouté que la situation clinique de l’assuré correspondait à une atteinte d’une telle gravité et qui de surcroît présentait un caractère définitif. Comme l’a mentionné le Dr D.____, selon la table 3, page 3.5, image 36, cela donnait effectivement 10 % d’atteinte à l’intégrité. L’avis dûment étayé du médecin d’arrondissement, correctement fondé sur la table 3 des barèmes d’indemnisation des atteintes à l’intégrité selon la LAA, n’est mis en doute par aucun avis médical contraire. Les griefs du recourant doivent dès lors également être écartés dans ce cadre, et le taux de l’IPAI de 10 % retenu par l’intimée confirmé.</w:t>
      </w:r>
    </w:p>
    <w:p>
      <w:r>
        <w:rPr>
          <w:b/>
        </w:rPr>
        <w:t>E. 6</w:t>
      </w:r>
    </w:p>
    <w:p>
      <w:r>
        <w:t>Il s’ensuit que le recours est rejeté sans frais ni dépens (art. 61 let. a et g LPGA).</w:t>
      </w:r>
    </w:p>
    <w:p>
      <w:r>
        <w:t>Prononce</w:t>
      </w:r>
    </w:p>
    <w:p>
      <w:r>
        <w:t>1. Le recours est rejeté. 2. Il n’est pas perçu de frais, ni alloué de dépens Sion, le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